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04BC360A" w:rsidR="00EF5278" w:rsidRPr="00122FCE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  <w:lang w:val="en-CA"/>
        </w:rPr>
      </w:pPr>
      <w:r w:rsidRPr="00DC5173">
        <w:rPr>
          <w:rFonts w:asciiTheme="majorHAnsi" w:hAnsiTheme="majorHAnsi" w:cstheme="majorHAnsi"/>
          <w:szCs w:val="28"/>
          <w:u w:val="none"/>
          <w:lang w:val="en-CA"/>
        </w:rPr>
        <w:t xml:space="preserve">Letter of Agreement and Material Order Form </w:t>
      </w:r>
      <w:r w:rsidRPr="00122FCE">
        <w:rPr>
          <w:rFonts w:asciiTheme="majorHAnsi" w:hAnsiTheme="majorHAnsi" w:cstheme="majorHAnsi"/>
          <w:szCs w:val="28"/>
          <w:u w:val="none"/>
          <w:lang w:val="en-CA"/>
        </w:rPr>
        <w:t>20</w:t>
      </w:r>
      <w:r w:rsidR="003217BA" w:rsidRPr="00122FCE">
        <w:rPr>
          <w:rFonts w:asciiTheme="majorHAnsi" w:hAnsiTheme="majorHAnsi" w:cstheme="majorHAnsi"/>
          <w:szCs w:val="28"/>
          <w:u w:val="none"/>
          <w:lang w:val="en-CA"/>
        </w:rPr>
        <w:t>2</w:t>
      </w:r>
      <w:r w:rsidR="008E43BB" w:rsidRPr="00122FCE">
        <w:rPr>
          <w:rFonts w:asciiTheme="majorHAnsi" w:hAnsiTheme="majorHAnsi" w:cstheme="majorHAnsi"/>
          <w:szCs w:val="28"/>
          <w:u w:val="none"/>
          <w:lang w:val="en-CA"/>
        </w:rPr>
        <w:t>2</w:t>
      </w:r>
    </w:p>
    <w:p w14:paraId="37A77F18" w14:textId="006FF0D9" w:rsidR="00764C0F" w:rsidRPr="00122FCE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lang w:val="en-CA"/>
        </w:rPr>
        <w:t>Please complete the letter of agreement and the material order form, and email them</w:t>
      </w:r>
      <w:r w:rsidR="00E46403" w:rsidRPr="00122FCE">
        <w:rPr>
          <w:rFonts w:asciiTheme="majorHAnsi" w:hAnsiTheme="majorHAnsi" w:cstheme="majorHAnsi"/>
          <w:lang w:val="en-CA"/>
        </w:rPr>
        <w:t xml:space="preserve"> </w:t>
      </w:r>
      <w:r w:rsidRPr="00122FCE">
        <w:rPr>
          <w:rFonts w:asciiTheme="majorHAnsi" w:hAnsiTheme="majorHAnsi" w:cstheme="majorHAnsi"/>
          <w:lang w:val="en-CA"/>
        </w:rPr>
        <w:t>to your</w:t>
      </w:r>
      <w:r w:rsidRPr="00122FCE">
        <w:rPr>
          <w:rFonts w:asciiTheme="majorHAnsi" w:hAnsiTheme="majorHAnsi" w:cstheme="majorHAnsi"/>
          <w:b/>
          <w:lang w:val="en-CA"/>
        </w:rPr>
        <w:t xml:space="preserve"> </w:t>
      </w:r>
      <w:r w:rsidRPr="00122FCE">
        <w:rPr>
          <w:rFonts w:asciiTheme="majorHAnsi" w:hAnsiTheme="majorHAnsi" w:cstheme="majorHAnsi"/>
          <w:lang w:val="en-CA"/>
        </w:rPr>
        <w:t xml:space="preserve">provincial/territorial coordinator </w:t>
      </w:r>
      <w:r w:rsidRPr="00122FCE">
        <w:rPr>
          <w:rFonts w:asciiTheme="majorHAnsi" w:hAnsiTheme="majorHAnsi" w:cstheme="majorHAnsi"/>
          <w:b/>
          <w:lang w:val="en-CA"/>
        </w:rPr>
        <w:t>before January 2</w:t>
      </w:r>
      <w:r w:rsidR="000C7AA1" w:rsidRPr="00122FCE">
        <w:rPr>
          <w:rFonts w:asciiTheme="majorHAnsi" w:hAnsiTheme="majorHAnsi" w:cstheme="majorHAnsi"/>
          <w:b/>
          <w:lang w:val="en-CA"/>
        </w:rPr>
        <w:t>8</w:t>
      </w:r>
      <w:r w:rsidRPr="00122FCE">
        <w:rPr>
          <w:rFonts w:asciiTheme="majorHAnsi" w:hAnsiTheme="majorHAnsi" w:cstheme="majorHAnsi"/>
          <w:b/>
          <w:lang w:val="en-CA"/>
        </w:rPr>
        <w:t>, 20</w:t>
      </w:r>
      <w:r w:rsidR="003217BA" w:rsidRPr="00122FCE">
        <w:rPr>
          <w:rFonts w:asciiTheme="majorHAnsi" w:hAnsiTheme="majorHAnsi" w:cstheme="majorHAnsi"/>
          <w:b/>
          <w:lang w:val="en-CA"/>
        </w:rPr>
        <w:t>2</w:t>
      </w:r>
      <w:r w:rsidR="008E43BB" w:rsidRPr="00122FCE">
        <w:rPr>
          <w:rFonts w:asciiTheme="majorHAnsi" w:hAnsiTheme="majorHAnsi" w:cstheme="majorHAnsi"/>
          <w:b/>
          <w:lang w:val="en-CA"/>
        </w:rPr>
        <w:t>2</w:t>
      </w:r>
      <w:r w:rsidRPr="00122FCE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122FCE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122FCE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A" w14:textId="77777777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  <w:lang w:val="en-CA"/>
        </w:rPr>
      </w:pPr>
    </w:p>
    <w:p w14:paraId="37A77F1B" w14:textId="3997FCFF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122FCE">
        <w:rPr>
          <w:rFonts w:asciiTheme="majorHAnsi" w:hAnsiTheme="majorHAnsi" w:cstheme="majorHAnsi"/>
          <w:b/>
          <w:lang w:val="en-CA"/>
        </w:rPr>
        <w:t>l</w:t>
      </w:r>
      <w:r w:rsidRPr="00122FCE">
        <w:rPr>
          <w:rFonts w:asciiTheme="majorHAnsi" w:hAnsiTheme="majorHAnsi" w:cstheme="majorHAnsi"/>
          <w:b/>
          <w:lang w:val="en-CA"/>
        </w:rPr>
        <w:t>ibrary (system):</w:t>
      </w:r>
      <w:r w:rsidR="005C0AAB" w:rsidRPr="00122FCE">
        <w:rPr>
          <w:rFonts w:asciiTheme="majorHAnsi" w:hAnsiTheme="majorHAnsi" w:cstheme="majorHAnsi"/>
          <w:lang w:val="en-CA"/>
        </w:rPr>
        <w:t xml:space="preserve"> Click or press here to enter text.</w:t>
      </w:r>
    </w:p>
    <w:p w14:paraId="37A77F1C" w14:textId="77777777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1D" w14:textId="77777777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Our library (system) agrees:</w:t>
      </w:r>
    </w:p>
    <w:p w14:paraId="37A77F1E" w14:textId="77777777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20" w14:textId="1A5BE683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>1. that the provided free program and promotional materials will not be modified, except in the blank space designated to place our library logo or address;</w:t>
      </w:r>
    </w:p>
    <w:p w14:paraId="37A77F21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2" w14:textId="1D041576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>2. to e</w:t>
      </w:r>
      <w:r w:rsidR="00812E36" w:rsidRPr="00122FCE">
        <w:rPr>
          <w:rFonts w:asciiTheme="majorHAnsi" w:hAnsiTheme="majorHAnsi" w:cstheme="majorHAnsi"/>
          <w:lang w:val="en-CA"/>
        </w:rPr>
        <w:t xml:space="preserve">ncourage all children visiting </w:t>
      </w:r>
      <w:r w:rsidRPr="00122FCE">
        <w:rPr>
          <w:rFonts w:asciiTheme="majorHAnsi" w:hAnsiTheme="majorHAnsi" w:cstheme="majorHAnsi"/>
          <w:lang w:val="en-CA"/>
        </w:rPr>
        <w:t xml:space="preserve">our library during the summer months to register for the program and </w:t>
      </w:r>
      <w:r w:rsidR="003C3460" w:rsidRPr="00122FCE">
        <w:rPr>
          <w:rFonts w:asciiTheme="majorHAnsi" w:hAnsiTheme="majorHAnsi" w:cstheme="majorHAnsi"/>
          <w:lang w:val="en-CA"/>
        </w:rPr>
        <w:t xml:space="preserve">subsequently </w:t>
      </w:r>
      <w:r w:rsidRPr="00122FCE">
        <w:rPr>
          <w:rFonts w:asciiTheme="majorHAnsi" w:hAnsiTheme="majorHAnsi" w:cstheme="majorHAnsi"/>
          <w:lang w:val="en-CA"/>
        </w:rPr>
        <w:t>provide them with</w:t>
      </w:r>
      <w:r w:rsidR="003C3460" w:rsidRPr="00122FCE">
        <w:rPr>
          <w:rFonts w:asciiTheme="majorHAnsi" w:hAnsiTheme="majorHAnsi" w:cstheme="majorHAnsi"/>
          <w:lang w:val="en-CA"/>
        </w:rPr>
        <w:t xml:space="preserve"> the</w:t>
      </w:r>
      <w:r w:rsidRPr="00122FCE">
        <w:rPr>
          <w:rFonts w:asciiTheme="majorHAnsi" w:hAnsiTheme="majorHAnsi" w:cstheme="majorHAnsi"/>
          <w:lang w:val="en-CA"/>
        </w:rPr>
        <w:t xml:space="preserve"> free program materials</w:t>
      </w:r>
      <w:r w:rsidR="003C3460" w:rsidRPr="00122FCE">
        <w:rPr>
          <w:rFonts w:asciiTheme="majorHAnsi" w:hAnsiTheme="majorHAnsi" w:cstheme="majorHAnsi"/>
          <w:lang w:val="en-CA"/>
        </w:rPr>
        <w:t>;</w:t>
      </w:r>
    </w:p>
    <w:p w14:paraId="006018AF" w14:textId="77777777" w:rsidR="00DC5173" w:rsidRPr="00122FCE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4" w14:textId="52A6E78F" w:rsidR="003C3460" w:rsidRPr="00122FCE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>3. to include a link to the national TD Summer Reading Club website on our library’s site (if applicable), and to encourage use of the national site amongst kids and their families;</w:t>
      </w:r>
    </w:p>
    <w:p w14:paraId="37A77F25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6" w14:textId="07B033AA" w:rsidR="00DE5D38" w:rsidRPr="00122FCE" w:rsidRDefault="00A97CFC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>4</w:t>
      </w:r>
      <w:r w:rsidR="00DE5D38" w:rsidRPr="00122FCE">
        <w:rPr>
          <w:rFonts w:asciiTheme="majorHAnsi" w:hAnsiTheme="majorHAnsi" w:cstheme="majorHAnsi"/>
          <w:lang w:val="en-CA"/>
        </w:rPr>
        <w:t xml:space="preserve">. to adhere to the official TD Summer Reading Club brand guidelines in promotional material and in public relations (letters, article, leaflets, marketing, </w:t>
      </w:r>
      <w:r w:rsidR="003C3460" w:rsidRPr="00122FCE">
        <w:rPr>
          <w:rFonts w:asciiTheme="majorHAnsi" w:hAnsiTheme="majorHAnsi" w:cstheme="majorHAnsi"/>
          <w:lang w:val="en-CA"/>
        </w:rPr>
        <w:t>online and print media);</w:t>
      </w:r>
    </w:p>
    <w:p w14:paraId="37A77F27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8" w14:textId="504200B7" w:rsidR="00DE5D38" w:rsidRPr="00122FCE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>. to promote the initiative within schools and regional family-oriented organizations;</w:t>
      </w:r>
    </w:p>
    <w:p w14:paraId="37A77F29" w14:textId="77777777" w:rsidR="00DE5D38" w:rsidRPr="00122FCE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A" w14:textId="617767DB" w:rsidR="00DE5D38" w:rsidRPr="00122FCE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6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>. to collect the required statistics throughout the summer and to complete the 20</w:t>
      </w:r>
      <w:r w:rsidR="003217BA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727F55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Statistics and Evaluation Form 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>before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the deadline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019F9193" w14:textId="77777777" w:rsidR="00DC5173" w:rsidRPr="00122FCE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5701453F" w14:textId="2E0C4BA5" w:rsidR="00DC5173" w:rsidRPr="00122FCE" w:rsidRDefault="00DC5173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7. to ensure at least one person from our library or system is signed up for the TD Summer Reading Club newsfeed.</w:t>
      </w:r>
    </w:p>
    <w:p w14:paraId="28BEC4C5" w14:textId="398F8C83" w:rsidR="000C7AA1" w:rsidRPr="00122FCE" w:rsidRDefault="000C7AA1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</w:p>
    <w:p w14:paraId="530E5A5A" w14:textId="5B423F51" w:rsidR="000C7AA1" w:rsidRPr="00122FCE" w:rsidRDefault="000C7AA1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8. to notify </w:t>
      </w:r>
      <w:hyperlink r:id="rId14" w:history="1">
        <w:r w:rsidRPr="00122FCE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Library and Archives Canada</w:t>
        </w:r>
      </w:hyperlink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7B7A2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of any library contact information changes at any point of the program year. </w:t>
      </w:r>
    </w:p>
    <w:p w14:paraId="4E51C051" w14:textId="77777777" w:rsidR="00E46D72" w:rsidRPr="00122FCE" w:rsidRDefault="00E46D72" w:rsidP="00E46D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C" w14:textId="4CE25605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agree </w:t>
      </w: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to these conditions and to monitor the </w:t>
      </w:r>
      <w:r w:rsidR="0006729D" w:rsidRPr="00122FCE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3217BA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727F55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122FCE">
        <w:rPr>
          <w:rFonts w:asciiTheme="majorHAnsi" w:hAnsiTheme="majorHAnsi" w:cstheme="majorHAnsi"/>
          <w:sz w:val="24"/>
          <w:szCs w:val="24"/>
          <w:lang w:val="en-CA"/>
        </w:rPr>
        <w:t>program</w:t>
      </w:r>
      <w:r w:rsidR="00445FA0" w:rsidRPr="00122FCE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122FCE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F" w14:textId="17E31961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 xml:space="preserve">Name: </w:t>
      </w:r>
      <w:r w:rsidR="005C0AAB" w:rsidRPr="00122FCE">
        <w:rPr>
          <w:rFonts w:asciiTheme="majorHAnsi" w:hAnsiTheme="majorHAnsi" w:cstheme="majorHAnsi"/>
          <w:lang w:val="en-CA"/>
        </w:rPr>
        <w:t>Click or press here to enter text.</w:t>
      </w:r>
    </w:p>
    <w:p w14:paraId="37A77F31" w14:textId="1EFF2F4C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 xml:space="preserve">Telephone: </w:t>
      </w:r>
      <w:r w:rsidR="008A03AA" w:rsidRPr="00122FCE">
        <w:rPr>
          <w:rFonts w:asciiTheme="majorHAnsi" w:hAnsiTheme="majorHAnsi" w:cstheme="majorHAnsi"/>
          <w:lang w:val="en-CA"/>
        </w:rPr>
        <w:t>Click or press here to enter text.</w:t>
      </w:r>
    </w:p>
    <w:p w14:paraId="37A77F32" w14:textId="542447BD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>Email:</w:t>
      </w:r>
      <w:r w:rsidR="008A03AA" w:rsidRPr="00122FCE">
        <w:rPr>
          <w:rFonts w:asciiTheme="majorHAnsi" w:hAnsiTheme="majorHAnsi" w:cstheme="majorHAnsi"/>
          <w:b/>
          <w:lang w:val="en-CA"/>
        </w:rPr>
        <w:t xml:space="preserve"> </w:t>
      </w:r>
      <w:r w:rsidR="008A03AA" w:rsidRPr="00122FCE">
        <w:rPr>
          <w:rFonts w:asciiTheme="majorHAnsi" w:hAnsiTheme="majorHAnsi" w:cstheme="majorHAnsi"/>
          <w:lang w:val="en-CA"/>
        </w:rPr>
        <w:t>Click or press here to enter text.</w:t>
      </w:r>
    </w:p>
    <w:p w14:paraId="37A77F33" w14:textId="77777777" w:rsidR="00DE5D38" w:rsidRPr="00122FCE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0D0F15D7" w:rsidR="003C3460" w:rsidRPr="00122FCE" w:rsidRDefault="00B92EB6" w:rsidP="001542B2">
      <w:pPr>
        <w:ind w:left="-811" w:right="-34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>Material Order Form 20</w:t>
      </w:r>
      <w:r w:rsidR="003217BA"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2</w:t>
      </w:r>
      <w:r w:rsidR="00727F55"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2</w:t>
      </w:r>
    </w:p>
    <w:p w14:paraId="16C59ECB" w14:textId="17D3389E" w:rsidR="001542B2" w:rsidRDefault="008A03AA" w:rsidP="001542B2">
      <w:pPr>
        <w:ind w:left="-811" w:right="-346"/>
        <w:jc w:val="center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Indicate</w:t>
      </w:r>
      <w:r w:rsidR="001542B2"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the quantity desired for each item. Our ordering tips (below) will help you.</w:t>
      </w:r>
    </w:p>
    <w:p w14:paraId="6A4EC3B6" w14:textId="77777777" w:rsidR="001542B2" w:rsidRPr="001542B2" w:rsidRDefault="001542B2" w:rsidP="001542B2">
      <w:pPr>
        <w:ind w:left="-811" w:right="-346"/>
        <w:jc w:val="center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</w:p>
    <w:tbl>
      <w:tblPr>
        <w:tblStyle w:val="TableGrid1"/>
        <w:tblW w:w="11363" w:type="dxa"/>
        <w:tblInd w:w="-1455" w:type="dxa"/>
        <w:tblLayout w:type="fixed"/>
        <w:tblLook w:val="04A0" w:firstRow="1" w:lastRow="0" w:firstColumn="1" w:lastColumn="0" w:noHBand="0" w:noVBand="1"/>
      </w:tblPr>
      <w:tblGrid>
        <w:gridCol w:w="1440"/>
        <w:gridCol w:w="1418"/>
        <w:gridCol w:w="1417"/>
        <w:gridCol w:w="1276"/>
        <w:gridCol w:w="1418"/>
        <w:gridCol w:w="1559"/>
        <w:gridCol w:w="1417"/>
        <w:gridCol w:w="1418"/>
      </w:tblGrid>
      <w:tr w:rsidR="008A03AA" w:rsidRPr="00DC5173" w14:paraId="082C56E8" w14:textId="77777777" w:rsidTr="00086AF3">
        <w:tc>
          <w:tcPr>
            <w:tcW w:w="69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715D234" w14:textId="4E081232" w:rsidR="008A03AA" w:rsidRDefault="008A03AA" w:rsidP="008A03AA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PROGRAM MATERIALS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5C24BB25" w14:textId="18296509" w:rsidR="008A03AA" w:rsidRPr="00DC5173" w:rsidRDefault="008A03AA" w:rsidP="008A03AA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PROMOTIONAL MATERIALS</w:t>
            </w:r>
          </w:p>
        </w:tc>
      </w:tr>
      <w:tr w:rsidR="00086AF3" w:rsidRPr="00DC5173" w14:paraId="37A77F3D" w14:textId="77777777" w:rsidTr="00086AF3">
        <w:tc>
          <w:tcPr>
            <w:tcW w:w="1440" w:type="dxa"/>
            <w:tcBorders>
              <w:top w:val="single" w:sz="12" w:space="0" w:color="auto"/>
            </w:tcBorders>
          </w:tcPr>
          <w:p w14:paraId="37A77F36" w14:textId="77777777" w:rsidR="008A03AA" w:rsidRPr="00DC5173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7A77F37" w14:textId="77777777" w:rsidR="008A03AA" w:rsidRPr="00DC5173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A77F38" w14:textId="77777777" w:rsidR="008A03AA" w:rsidRPr="00DC5173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14:paraId="37A77F39" w14:textId="77777777" w:rsidR="008A03AA" w:rsidRPr="00DC5173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577C1C" w14:textId="1B9B253A" w:rsidR="008A03AA" w:rsidRPr="002E2647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</w:pPr>
            <w:r w:rsidRPr="00086AF3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37A77F3A" w14:textId="145DCEA8" w:rsidR="008A03AA" w:rsidRPr="00DC5173" w:rsidRDefault="008A03AA" w:rsidP="008A03AA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A77F3B" w14:textId="3B3D2FDC" w:rsidR="008A03AA" w:rsidRPr="00DC5173" w:rsidRDefault="008A03AA" w:rsidP="008A03AA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7A77F3C" w14:textId="45E4A230" w:rsidR="008A03AA" w:rsidRPr="00DC5173" w:rsidRDefault="008A03AA" w:rsidP="008A03AA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H</w:t>
            </w:r>
          </w:p>
        </w:tc>
      </w:tr>
      <w:tr w:rsidR="00086AF3" w:rsidRPr="00DC5173" w14:paraId="37A77F4B" w14:textId="77777777" w:rsidTr="00086AF3">
        <w:tc>
          <w:tcPr>
            <w:tcW w:w="1440" w:type="dxa"/>
          </w:tcPr>
          <w:p w14:paraId="72A2B1B5" w14:textId="12DC309D" w:rsidR="008A03AA" w:rsidRPr="008A03AA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School-Age Notebook</w:t>
            </w:r>
          </w:p>
          <w:p w14:paraId="37A77F3F" w14:textId="5F56389D" w:rsidR="008A03AA" w:rsidRPr="008A03AA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FBC3C" w14:textId="2441B29B" w:rsidR="008A03AA" w:rsidRPr="008A03AA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Pre-Reader Notebook</w:t>
            </w:r>
          </w:p>
          <w:p w14:paraId="37A77F41" w14:textId="09C6BF66" w:rsidR="008A03AA" w:rsidRPr="008A03AA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77F42" w14:textId="0B803FFE" w:rsidR="008A03AA" w:rsidRPr="008A03AA" w:rsidRDefault="008A03AA" w:rsidP="00C63B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Web Access Sticker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A77F44" w14:textId="77777777" w:rsidR="008A03AA" w:rsidRPr="008A03AA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Sticker Sheet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2A3F52DD" w14:textId="14B48C5F" w:rsidR="002E2647" w:rsidRPr="00122FCE" w:rsidRDefault="002E2647" w:rsidP="002E26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Pre-Reader </w:t>
            </w: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Sticker Sheet</w:t>
            </w:r>
          </w:p>
          <w:p w14:paraId="5F14D62A" w14:textId="23A2AC80" w:rsidR="008A03AA" w:rsidRPr="00122FCE" w:rsidRDefault="002E2647" w:rsidP="002E26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*NEW*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A77F45" w14:textId="3447D3C5" w:rsidR="008A03AA" w:rsidRPr="00122FCE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>Top Recommended Reads</w:t>
            </w:r>
          </w:p>
          <w:p w14:paraId="37A77F46" w14:textId="77777777" w:rsidR="008A03AA" w:rsidRPr="00122FCE" w:rsidRDefault="008A03AA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77F48" w14:textId="685ECCB8" w:rsidR="008A03AA" w:rsidRPr="00122FCE" w:rsidRDefault="008A03AA" w:rsidP="0032340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English </w:t>
            </w: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Corner Bookmark</w:t>
            </w:r>
          </w:p>
        </w:tc>
        <w:tc>
          <w:tcPr>
            <w:tcW w:w="1418" w:type="dxa"/>
          </w:tcPr>
          <w:p w14:paraId="37A77F4A" w14:textId="17E098F2" w:rsidR="008A03AA" w:rsidRPr="00122FCE" w:rsidRDefault="008A03AA" w:rsidP="00E205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French </w:t>
            </w: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Corner Bookmark</w:t>
            </w:r>
          </w:p>
        </w:tc>
      </w:tr>
      <w:tr w:rsidR="00086AF3" w:rsidRPr="00DC5173" w14:paraId="37A77F56" w14:textId="77777777" w:rsidTr="00086AF3">
        <w:tc>
          <w:tcPr>
            <w:tcW w:w="1440" w:type="dxa"/>
          </w:tcPr>
          <w:p w14:paraId="37A77F4F" w14:textId="328C8BD6" w:rsidR="008A03AA" w:rsidRPr="002E2647" w:rsidRDefault="002E2647" w:rsidP="002E2647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418" w:type="dxa"/>
          </w:tcPr>
          <w:p w14:paraId="37A77F50" w14:textId="16CE90CB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417" w:type="dxa"/>
          </w:tcPr>
          <w:p w14:paraId="37A77F51" w14:textId="71ADC3F3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A77F52" w14:textId="695A0B67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39B278E1" w14:textId="1D735494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A77F53" w14:textId="17EC0857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417" w:type="dxa"/>
          </w:tcPr>
          <w:p w14:paraId="37A77F54" w14:textId="45DC03F1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  <w:tc>
          <w:tcPr>
            <w:tcW w:w="1418" w:type="dxa"/>
          </w:tcPr>
          <w:p w14:paraId="37A77F55" w14:textId="31D8E45E" w:rsidR="008A03AA" w:rsidRPr="00DC5173" w:rsidRDefault="002E2647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E2647">
              <w:rPr>
                <w:rFonts w:asciiTheme="majorHAnsi" w:hAnsiTheme="majorHAnsi" w:cstheme="majorHAnsi"/>
                <w:sz w:val="20"/>
                <w:szCs w:val="20"/>
              </w:rPr>
              <w:t>Click or press here to enter text.</w:t>
            </w:r>
          </w:p>
        </w:tc>
      </w:tr>
    </w:tbl>
    <w:p w14:paraId="37A77F57" w14:textId="28A94FCC" w:rsidR="00DD4824" w:rsidRPr="002E2647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18"/>
          <w:szCs w:val="28"/>
          <w:lang w:val="en-CA"/>
        </w:rPr>
      </w:pPr>
    </w:p>
    <w:p w14:paraId="0267113E" w14:textId="6043DBA5" w:rsidR="0026464F" w:rsidRPr="006016E7" w:rsidRDefault="0026464F" w:rsidP="001E063F">
      <w:pPr>
        <w:spacing w:after="120"/>
        <w:ind w:left="-990" w:right="117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Ordering Tips: </w:t>
      </w:r>
    </w:p>
    <w:p w14:paraId="4117C1A4" w14:textId="1E0E2DF5" w:rsidR="005D5FB8" w:rsidRPr="006016E7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6016E7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PROGRAM MATERIALS:</w:t>
      </w:r>
    </w:p>
    <w:p w14:paraId="08605B0B" w14:textId="076DA74C" w:rsidR="0026464F" w:rsidRPr="00123FC8" w:rsidRDefault="0026464F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School-age notebook</w:t>
      </w:r>
      <w:r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Recommended for children ages 6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12</w:t>
      </w:r>
      <w:r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5D5FB8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>Each child who joins the program receives an age-appropriate notebook at registration.</w:t>
      </w:r>
    </w:p>
    <w:p w14:paraId="2E78DE87" w14:textId="77777777" w:rsidR="001E063F" w:rsidRPr="006016E7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64670C7" w14:textId="14B7D0ED" w:rsidR="0026464F" w:rsidRPr="00123FC8" w:rsidRDefault="005D5FB8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Pre-reader notebook</w:t>
      </w:r>
      <w:r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Recommended for children ages 0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>Each child who joins the program receives an age-appropriate notebook at registration.</w:t>
      </w:r>
    </w:p>
    <w:p w14:paraId="39E322AE" w14:textId="77777777" w:rsidR="001E063F" w:rsidRPr="006016E7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09D90D1A" w14:textId="2545A301" w:rsidR="005D5FB8" w:rsidRPr="006016E7" w:rsidRDefault="002007C6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Web a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cces</w:t>
      </w: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sticker</w:t>
      </w:r>
      <w:r w:rsidR="005D5FB8"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E063F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Each child who joins the program receives a web access code sticker at registration. The number of web access code stickers ordered should equal the combined total of pre-reader and school-age notebooks ordered. 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Th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e sticker contains a unique code that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allows kids</w:t>
      </w:r>
      <w:r w:rsidR="003C7B7B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families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create an online notebook, read ebooks, and track reading. </w:t>
      </w:r>
    </w:p>
    <w:p w14:paraId="5F8B3E7D" w14:textId="77777777" w:rsidR="001E063F" w:rsidRPr="006016E7" w:rsidRDefault="001E063F" w:rsidP="002007C6">
      <w:pPr>
        <w:pStyle w:val="ListParagraph"/>
        <w:ind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00377B6A" w14:textId="08F79D97" w:rsidR="002E2647" w:rsidRPr="00122FCE" w:rsidRDefault="005D5FB8" w:rsidP="002E2647">
      <w:pPr>
        <w:pStyle w:val="ListParagraph"/>
        <w:numPr>
          <w:ilvl w:val="0"/>
          <w:numId w:val="1"/>
        </w:numPr>
        <w:spacing w:after="120"/>
        <w:ind w:left="91" w:right="539" w:hanging="272"/>
        <w:contextualSpacing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26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Sticker sheet:</w:t>
      </w:r>
      <w:r w:rsidRPr="002E26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372B3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Our traditional stickers are back! 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You can estimate a sheet of stickers per child registered, but you may increase or decrease based on past experience and how you plan to distribute the stickers. </w:t>
      </w:r>
    </w:p>
    <w:p w14:paraId="08F55E47" w14:textId="54E9AE4D" w:rsidR="002E2647" w:rsidRPr="00122FCE" w:rsidRDefault="003372B3" w:rsidP="002E2647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="Calibri" w:eastAsia="Calibri" w:hAnsi="Calibri" w:cs="Times New Roman"/>
          <w:b/>
          <w:color w:val="FF0000"/>
          <w:sz w:val="22"/>
          <w:szCs w:val="22"/>
          <w:lang w:val="en-CA"/>
        </w:rPr>
        <w:t>*NEW*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E2647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Pre-reader sticker sheet:</w:t>
      </w:r>
      <w:r w:rsidR="002E2647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This year, young</w:t>
      </w:r>
      <w:r w:rsidR="002E2647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children get their own sticker sheet to use in a brand-new pre-reader notebook game. We 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suggest</w:t>
      </w:r>
      <w:r w:rsidR="002E2647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ordering as many sheets as you have pre-reader notebooks, and distributing them with the notebooks. </w:t>
      </w:r>
    </w:p>
    <w:p w14:paraId="721C8293" w14:textId="77777777" w:rsidR="001E063F" w:rsidRPr="00122FCE" w:rsidRDefault="001E063F" w:rsidP="001E063F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B22220" w14:textId="79D201AF" w:rsidR="005D5FB8" w:rsidRPr="00122FCE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122FCE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PROMOTIONAL MATERIALS:</w:t>
      </w:r>
    </w:p>
    <w:p w14:paraId="4FA9422D" w14:textId="3949D38D" w:rsidR="005D5FB8" w:rsidRPr="00122FCE" w:rsidRDefault="005D5FB8" w:rsidP="00F5354A">
      <w:pPr>
        <w:pStyle w:val="ListParagraph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Top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ecommended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eads: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This item would be ideal to provide to schools for inclusion in year-end report cards, and you may also make quantities available in your libraries as a tool for staff to use when </w:t>
      </w:r>
      <w:r w:rsidR="002007C6" w:rsidRPr="00122FCE">
        <w:rPr>
          <w:rFonts w:asciiTheme="majorHAnsi" w:hAnsiTheme="majorHAnsi" w:cstheme="majorHAnsi"/>
          <w:color w:val="000000"/>
          <w:sz w:val="22"/>
          <w:szCs w:val="22"/>
        </w:rPr>
        <w:t>promoting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the Club to parents and caregivers. </w:t>
      </w:r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If distributing to schools, orders can be based on student enrolment figures. Order quantities for outreach visits and to have on hand at your library as well.</w:t>
      </w:r>
    </w:p>
    <w:p w14:paraId="758E77B5" w14:textId="77777777" w:rsidR="001E063F" w:rsidRPr="00122FCE" w:rsidRDefault="001E063F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2B5C8873" w14:textId="113BB9B8" w:rsidR="005D5FB8" w:rsidRPr="00122FCE" w:rsidRDefault="00727F55" w:rsidP="00F5354A">
      <w:pPr>
        <w:pStyle w:val="ListParagraph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 xml:space="preserve">English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orner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ookmark</w:t>
      </w:r>
      <w:r w:rsidR="005D5FB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This item is perfect to use as a promotional item for kids before summer starts, to increase anticipation and excitement about joining the Club. Order quantities</w:t>
      </w:r>
      <w:r w:rsidR="002007C6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for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outreach visits and to have on hand at your library as well. </w:t>
      </w:r>
    </w:p>
    <w:p w14:paraId="3134D967" w14:textId="77777777" w:rsidR="001E063F" w:rsidRPr="00122FCE" w:rsidRDefault="001E063F" w:rsidP="00F5354A">
      <w:pPr>
        <w:pStyle w:val="ListParagraph"/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7EB5DED" w14:textId="3E408F4B" w:rsidR="005D5FB8" w:rsidRPr="00122FCE" w:rsidRDefault="00727F55" w:rsidP="00F5354A">
      <w:pPr>
        <w:pStyle w:val="ListParagraph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French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orner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ookmark</w:t>
      </w:r>
      <w:r w:rsidR="005D5FB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372B3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See description in point G</w:t>
      </w:r>
      <w:r w:rsidR="001542B2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above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9624511" w14:textId="119C18CC" w:rsidR="004705E0" w:rsidRPr="00122FCE" w:rsidRDefault="004705E0" w:rsidP="00F5354A">
      <w:pPr>
        <w:spacing w:after="120"/>
        <w:ind w:left="-810"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ADFC010" w14:textId="77777777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Registration</w:t>
      </w:r>
    </w:p>
    <w:p w14:paraId="34D7F2C4" w14:textId="1C0A5137" w:rsidR="003372B3" w:rsidRPr="00122FCE" w:rsidRDefault="003372B3" w:rsidP="003372B3">
      <w:pPr>
        <w:ind w:left="-811" w:right="-346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Please complete the registration for your library system (or your library) in our </w:t>
      </w:r>
      <w:r w:rsidRPr="00122FCE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n-CA"/>
        </w:rPr>
        <w:t>Excel document</w:t>
      </w: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.</w:t>
      </w:r>
    </w:p>
    <w:p w14:paraId="5B891195" w14:textId="77777777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4746CCD" w14:textId="77777777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Delivery of materials</w:t>
      </w:r>
    </w:p>
    <w:p w14:paraId="06C8BFCA" w14:textId="288E1F2C" w:rsidR="002007C6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Please complete the following table: </w:t>
      </w:r>
      <w:bookmarkStart w:id="0" w:name="_GoBack"/>
      <w:bookmarkEnd w:id="0"/>
    </w:p>
    <w:p w14:paraId="3D98A1CD" w14:textId="77777777" w:rsidR="001542B2" w:rsidRDefault="001542B2" w:rsidP="001542B2">
      <w:pPr>
        <w:ind w:left="-811" w:right="-34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tbl>
      <w:tblPr>
        <w:tblStyle w:val="TableGrid2"/>
        <w:tblW w:w="11881" w:type="dxa"/>
        <w:tblInd w:w="-1355" w:type="dxa"/>
        <w:tblLook w:val="04A0" w:firstRow="1" w:lastRow="0" w:firstColumn="1" w:lastColumn="0" w:noHBand="0" w:noVBand="1"/>
      </w:tblPr>
      <w:tblGrid>
        <w:gridCol w:w="2059"/>
        <w:gridCol w:w="2126"/>
        <w:gridCol w:w="1701"/>
        <w:gridCol w:w="1843"/>
        <w:gridCol w:w="2082"/>
        <w:gridCol w:w="2070"/>
      </w:tblGrid>
      <w:tr w:rsidR="003372B3" w:rsidRPr="004705E0" w14:paraId="37A77F5F" w14:textId="77777777" w:rsidTr="00086AF3">
        <w:tc>
          <w:tcPr>
            <w:tcW w:w="2059" w:type="dxa"/>
            <w:shd w:val="clear" w:color="auto" w:fill="auto"/>
          </w:tcPr>
          <w:p w14:paraId="37A77F59" w14:textId="3B9CECE7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2126" w:type="dxa"/>
            <w:shd w:val="clear" w:color="auto" w:fill="auto"/>
          </w:tcPr>
          <w:p w14:paraId="462029FC" w14:textId="1115119A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A77F5B" w14:textId="020E57E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1843" w:type="dxa"/>
          </w:tcPr>
          <w:p w14:paraId="395FECBD" w14:textId="0D212FC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2082" w:type="dxa"/>
            <w:shd w:val="clear" w:color="auto" w:fill="auto"/>
          </w:tcPr>
          <w:p w14:paraId="067856DB" w14:textId="74D20D94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14:paraId="37A77F5D" w14:textId="7C5C92C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</w:tr>
      <w:tr w:rsidR="003372B3" w:rsidRPr="00727F55" w14:paraId="37A77F66" w14:textId="77777777" w:rsidTr="00086AF3">
        <w:tc>
          <w:tcPr>
            <w:tcW w:w="2059" w:type="dxa"/>
          </w:tcPr>
          <w:p w14:paraId="37A77F60" w14:textId="215418A0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</w:tcPr>
          <w:p w14:paraId="37A77F61" w14:textId="131448E9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</w:tcPr>
          <w:p w14:paraId="37A77F62" w14:textId="3C5BBD1A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43" w:type="dxa"/>
          </w:tcPr>
          <w:p w14:paraId="26EE6E95" w14:textId="0D87D0A9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82" w:type="dxa"/>
          </w:tcPr>
          <w:p w14:paraId="37A77F63" w14:textId="3325A2E4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70" w:type="dxa"/>
          </w:tcPr>
          <w:p w14:paraId="37A77F64" w14:textId="43CA6C1F" w:rsidR="003372B3" w:rsidRPr="00F5354A" w:rsidRDefault="003372B3" w:rsidP="003372B3">
            <w:pPr>
              <w:jc w:val="center"/>
              <w:rPr>
                <w:strike/>
                <w:sz w:val="20"/>
                <w:szCs w:val="20"/>
              </w:rPr>
            </w:pPr>
            <w:r w:rsidRPr="005C0AAB">
              <w:rPr>
                <w:rFonts w:asciiTheme="majorHAnsi" w:hAnsiTheme="majorHAnsi" w:cstheme="majorHAnsi"/>
              </w:rPr>
              <w:t>Click or press here to enter text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37A77FDE" w14:textId="77777777" w:rsidR="00B92EB6" w:rsidRPr="00F5354A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strike/>
          <w:color w:val="000000" w:themeColor="text1"/>
          <w:sz w:val="28"/>
          <w:szCs w:val="28"/>
          <w:lang w:val="en-CA"/>
        </w:rPr>
      </w:pPr>
    </w:p>
    <w:sectPr w:rsidR="00B92EB6" w:rsidRPr="00F5354A" w:rsidSect="002D5C68">
      <w:headerReference w:type="default" r:id="rId15"/>
      <w:footerReference w:type="default" r:id="rId16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8316" w14:textId="77777777" w:rsidR="00126884" w:rsidRDefault="00126884">
      <w:r>
        <w:separator/>
      </w:r>
    </w:p>
  </w:endnote>
  <w:endnote w:type="continuationSeparator" w:id="0">
    <w:p w14:paraId="137E51C7" w14:textId="77777777" w:rsidR="00126884" w:rsidRDefault="001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Footer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1" name="Picture 1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D2A7" w14:textId="77777777" w:rsidR="00126884" w:rsidRDefault="00126884">
      <w:r>
        <w:separator/>
      </w:r>
    </w:p>
  </w:footnote>
  <w:footnote w:type="continuationSeparator" w:id="0">
    <w:p w14:paraId="52DE4FC9" w14:textId="77777777" w:rsidR="00126884" w:rsidRDefault="0012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86AF3"/>
    <w:rsid w:val="000C7AA1"/>
    <w:rsid w:val="000D6FB0"/>
    <w:rsid w:val="00122FCE"/>
    <w:rsid w:val="00123FC8"/>
    <w:rsid w:val="00126884"/>
    <w:rsid w:val="001542B2"/>
    <w:rsid w:val="0017218B"/>
    <w:rsid w:val="00183559"/>
    <w:rsid w:val="001A6792"/>
    <w:rsid w:val="001C6E50"/>
    <w:rsid w:val="001E063F"/>
    <w:rsid w:val="002007C6"/>
    <w:rsid w:val="0023480E"/>
    <w:rsid w:val="0026464F"/>
    <w:rsid w:val="002D5C68"/>
    <w:rsid w:val="002E057E"/>
    <w:rsid w:val="002E2647"/>
    <w:rsid w:val="00303316"/>
    <w:rsid w:val="003217BA"/>
    <w:rsid w:val="00323407"/>
    <w:rsid w:val="003372B3"/>
    <w:rsid w:val="0037450C"/>
    <w:rsid w:val="003972CD"/>
    <w:rsid w:val="003C3460"/>
    <w:rsid w:val="003C7B7B"/>
    <w:rsid w:val="004002EC"/>
    <w:rsid w:val="00445FA0"/>
    <w:rsid w:val="00451C6F"/>
    <w:rsid w:val="004662D7"/>
    <w:rsid w:val="004705E0"/>
    <w:rsid w:val="004E688E"/>
    <w:rsid w:val="004E6F2D"/>
    <w:rsid w:val="004F5C3B"/>
    <w:rsid w:val="0057391F"/>
    <w:rsid w:val="005B7048"/>
    <w:rsid w:val="005C0AAB"/>
    <w:rsid w:val="005D5FB8"/>
    <w:rsid w:val="005F4ADA"/>
    <w:rsid w:val="006016E7"/>
    <w:rsid w:val="0065506C"/>
    <w:rsid w:val="006D3865"/>
    <w:rsid w:val="00727F55"/>
    <w:rsid w:val="00764C0F"/>
    <w:rsid w:val="007B2CFA"/>
    <w:rsid w:val="007B7A28"/>
    <w:rsid w:val="007D7812"/>
    <w:rsid w:val="00812E36"/>
    <w:rsid w:val="00813387"/>
    <w:rsid w:val="00867D89"/>
    <w:rsid w:val="00896EE2"/>
    <w:rsid w:val="008A03AA"/>
    <w:rsid w:val="008C2574"/>
    <w:rsid w:val="008D5492"/>
    <w:rsid w:val="008E43BB"/>
    <w:rsid w:val="00965DE7"/>
    <w:rsid w:val="00A52B93"/>
    <w:rsid w:val="00A94D98"/>
    <w:rsid w:val="00A97CFC"/>
    <w:rsid w:val="00B92EB6"/>
    <w:rsid w:val="00BA284C"/>
    <w:rsid w:val="00BB19E4"/>
    <w:rsid w:val="00C63B47"/>
    <w:rsid w:val="00C802CD"/>
    <w:rsid w:val="00CB56E7"/>
    <w:rsid w:val="00CD5036"/>
    <w:rsid w:val="00CF0370"/>
    <w:rsid w:val="00D34140"/>
    <w:rsid w:val="00D45F5F"/>
    <w:rsid w:val="00D90109"/>
    <w:rsid w:val="00DB0238"/>
    <w:rsid w:val="00DC5173"/>
    <w:rsid w:val="00DD4824"/>
    <w:rsid w:val="00DE5D38"/>
    <w:rsid w:val="00E20547"/>
    <w:rsid w:val="00E34984"/>
    <w:rsid w:val="00E46403"/>
    <w:rsid w:val="00E46D72"/>
    <w:rsid w:val="00EF5278"/>
    <w:rsid w:val="00F42EBD"/>
    <w:rsid w:val="00F5354A"/>
    <w:rsid w:val="00F83976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1">
    <w:name w:val="Table Grid11"/>
    <w:basedOn w:val="TableNormal"/>
    <w:next w:val="TableGrid"/>
    <w:uiPriority w:val="39"/>
    <w:rsid w:val="008A03AA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lubtd-tdclub@bac-lac.g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COMM-4-68638</_dlc_DocId>
    <_dlc_DocIdUrl xmlns="db4164cc-306e-4a7e-b389-53d1156d8c49">
      <Url>http://collaboration/sites/comm/CSR/_layouts/15/DocIdRedir.aspx?ID=COMM-4-68638</Url>
      <Description>COMM-4-68638</Description>
    </_dlc_DocIdUrl>
    <Folder_x0020_Name xmlns="6de87efa-1781-4aa1-8af2-5d09ca9d03fe" xsi:nil="true"/>
    <_EndDate xmlns="http://schemas.microsoft.com/sharepoint/v3/fields">2022-01-06T12:49:37+00:00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2022-01-06T12:49:37+00:00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016A-8C1A-44C2-B002-DED1E8F5A2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9E0FC29-544F-40F1-9006-3FAE3E48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D52CD25-158A-43DE-B967-80EADCD9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7</cp:revision>
  <cp:lastPrinted>2016-12-07T17:39:00Z</cp:lastPrinted>
  <dcterms:created xsi:type="dcterms:W3CDTF">2022-01-06T12:33:00Z</dcterms:created>
  <dcterms:modified xsi:type="dcterms:W3CDTF">2022-01-14T18:41:00Z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5f2ee336-1a37-4b6a-98c5-50883f86cf25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Sent to client">
    <vt:bool>true</vt:bool>
  </property>
  <property fmtid="{D5CDD505-2E9C-101B-9397-08002B2CF9AE}" pid="8" name="WorkflowChangePath">
    <vt:lpwstr>1aa2acbd-df0b-410e-9bd5-e26911197355,9;1aa2acbd-df0b-410e-9bd5-e26911197355,12;</vt:lpwstr>
  </property>
</Properties>
</file>